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color w:val="1B365D"/>
          <w:sz w:val="32"/>
          <w:szCs w:val="32"/>
        </w:rPr>
        <w:t xml:space="preserve">ACTIVITY RISK ASSESSMENT</w:t>
      </w:r>
    </w:p>
    <w:p>
      <w:pPr>
        <w:spacing w:after="40"/>
        <w:jc w:val="center"/>
      </w:pPr>
      <w:r>
        <w:rPr>
          <w:rFonts w:ascii="Arial" w:cs="Arial" w:eastAsia="Arial" w:hAnsi="Arial"/>
          <w:b/>
          <w:bCs/>
          <w:color w:val="0f172a"/>
          <w:sz w:val="28"/>
          <w:szCs w:val="28"/>
        </w:rPr>
        <w:t xml:space="preserve">EXCAVATOR LIFTING OPERATIONS</w:t>
      </w:r>
    </w:p>
    <w:p>
      <w:pPr>
        <w:pBdr>
          <w:bottom w:val="single" w:color="2E75B6" w:sz="2" w:space="4"/>
        </w:pBdr>
        <w:spacing w:after="120"/>
        <w:jc w:val="center"/>
      </w:pPr>
      <w:r>
        <w:rPr>
          <w:rFonts w:ascii="Arial" w:cs="Arial" w:eastAsia="Arial" w:hAnsi="Arial"/>
          <w:color w:val="595959"/>
          <w:sz w:val="24"/>
          <w:szCs w:val="24"/>
        </w:rPr>
        <w:t xml:space="preserve">LOLER 1998  |  BS 7121-1:2016  |  CDM 2015  |  CPA/SFPSG CIG 0801 (4th Rev Oct 2018)</w:t>
      </w:r>
    </w:p>
    <w:tbl>
      <w:tblPr>
        <w:tblW w:type="dxa" w:w="15398"/>
        <w:tblBorders>
          <w:top w:val="single" w:color="auto" w:sz="4"/>
          <w:left w:val="single" w:color="auto" w:sz="4"/>
          <w:bottom w:val="single" w:color="auto" w:sz="4"/>
          <w:right w:val="single" w:color="auto" w:sz="4"/>
          <w:insideH w:val="single" w:color="auto" w:sz="4"/>
          <w:insideV w:val="single" w:color="auto" w:sz="4"/>
        </w:tblBorders>
      </w:tblPr>
      <w:tblGrid>
        <w:gridCol w:w="3000"/>
        <w:gridCol w:w="4700"/>
        <w:gridCol w:w="3000"/>
        <w:gridCol w:w="4698"/>
      </w:tblGrid>
      <w:tr>
        <w:trPr>
          <w:tblHeader w:val="false"/>
        </w:trPr>
        <w:tc>
          <w:tcPr>
            <w:tcW w:type="dxa" w:w="3000"/>
            <w:gridSpan w:val="4"/>
            <w:tcBorders>
              <w:top w:val="single" w:color="1B365D" w:sz="3"/>
              <w:left w:val="single" w:color="BFBFBF" w:sz="1"/>
              <w:bottom w:val="single" w:color="BFBFBF" w:sz="1"/>
              <w:right w:val="single" w:color="BFBFBF" w:sz="1"/>
            </w:tcBorders>
            <w:shd w:fill="0f172a" w:val="clear"/>
            <w:tcMar>
              <w:top w:type="dxa" w:w="40"/>
              <w:left w:type="dxa" w:w="80"/>
              <w:bottom w:type="dxa" w:w="40"/>
              <w:right w:type="dxa" w:w="80"/>
            </w:tcMar>
          </w:tcPr>
          <w:p>
            <w:pPr>
              <w:spacing w:before="20" w:after="20"/>
            </w:pPr>
            <w:r>
              <w:rPr>
                <w:rFonts w:ascii="Arial" w:cs="Arial" w:eastAsia="Arial" w:hAnsi="Arial"/>
                <w:b/>
                <w:bCs/>
                <w:color w:val="FFFFFF"/>
                <w:sz w:val="24"/>
                <w:szCs w:val="24"/>
              </w:rPr>
              <w:t xml:space="preserve">PROJECT DETAILS</w:t>
            </w:r>
          </w:p>
        </w:tc>
      </w:tr>
      <w:tr>
        <w:trPr>
          <w:tblHeader w:val="false"/>
        </w:trPr>
        <w:tc>
          <w:tcPr>
            <w:tcW w:type="dxa" w:w="30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Project Name &amp; No.:</w:t>
            </w:r>
          </w:p>
        </w:tc>
        <w:tc>
          <w:tcPr>
            <w:tcW w:type="dxa" w:w="47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
            </w:r>
          </w:p>
        </w:tc>
        <w:tc>
          <w:tcPr>
            <w:tcW w:type="dxa" w:w="30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RA Ref No.:</w:t>
            </w:r>
          </w:p>
        </w:tc>
        <w:tc>
          <w:tcPr>
            <w:tcW w:type="dxa" w:w="469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
            </w:r>
          </w:p>
        </w:tc>
      </w:tr>
      <w:tr>
        <w:trPr>
          <w:tblHeader w:val="false"/>
        </w:trPr>
        <w:tc>
          <w:tcPr>
            <w:tcW w:type="dxa" w:w="30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RA Title:</w:t>
            </w:r>
          </w:p>
        </w:tc>
        <w:tc>
          <w:tcPr>
            <w:tcW w:type="dxa" w:w="47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Excavator Lifting Operations</w:t>
            </w:r>
          </w:p>
        </w:tc>
        <w:tc>
          <w:tcPr>
            <w:tcW w:type="dxa" w:w="30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Revision No.:</w:t>
            </w:r>
          </w:p>
        </w:tc>
        <w:tc>
          <w:tcPr>
            <w:tcW w:type="dxa" w:w="469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
            </w:r>
          </w:p>
        </w:tc>
      </w:tr>
      <w:tr>
        <w:trPr>
          <w:tblHeader w:val="false"/>
        </w:trPr>
        <w:tc>
          <w:tcPr>
            <w:tcW w:type="dxa" w:w="30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Specific Location:</w:t>
            </w:r>
          </w:p>
        </w:tc>
        <w:tc>
          <w:tcPr>
            <w:tcW w:type="dxa" w:w="47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
            </w:r>
          </w:p>
        </w:tc>
        <w:tc>
          <w:tcPr>
            <w:tcW w:type="dxa" w:w="30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Start Date:</w:t>
            </w:r>
          </w:p>
        </w:tc>
        <w:tc>
          <w:tcPr>
            <w:tcW w:type="dxa" w:w="469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
            </w:r>
          </w:p>
        </w:tc>
      </w:tr>
      <w:tr>
        <w:trPr>
          <w:tblHeader w:val="false"/>
        </w:trPr>
        <w:tc>
          <w:tcPr>
            <w:tcW w:type="dxa" w:w="30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Scope &amp; Description:</w:t>
            </w:r>
          </w:p>
        </w:tc>
        <w:tc>
          <w:tcPr>
            <w:tcW w:type="dxa" w:w="4700"/>
            <w:gridSpan w:val="3"/>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All lifting operations using 180°/360° excavators including suspended loads, pick &amp; carry, fork attachments, and delivery offloading.</w:t>
            </w:r>
          </w:p>
        </w:tc>
      </w:tr>
      <w:tr>
        <w:trPr>
          <w:tblHeader w:val="false"/>
        </w:trPr>
        <w:tc>
          <w:tcPr>
            <w:tcW w:type="dxa" w:w="30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Associated Documents:</w:t>
            </w:r>
          </w:p>
        </w:tc>
        <w:tc>
          <w:tcPr>
            <w:tcW w:type="dxa" w:w="4700"/>
            <w:gridSpan w:val="3"/>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Lift Plan, Method Statement, Duties Chart, Thorough Examination Report, CPA/SFPSG CIG 0801</w:t>
            </w:r>
          </w:p>
        </w:tc>
      </w:tr>
      <w:tr>
        <w:trPr>
          <w:tblHeader w:val="false"/>
        </w:trPr>
        <w:tc>
          <w:tcPr>
            <w:tcW w:type="dxa" w:w="30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Completed By:</w:t>
            </w:r>
          </w:p>
        </w:tc>
        <w:tc>
          <w:tcPr>
            <w:tcW w:type="dxa" w:w="47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Name:</w:t>
            </w:r>
          </w:p>
        </w:tc>
        <w:tc>
          <w:tcPr>
            <w:tcW w:type="dxa" w:w="30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Signed / Date:</w:t>
            </w:r>
          </w:p>
        </w:tc>
        <w:tc>
          <w:tcPr>
            <w:tcW w:type="dxa" w:w="469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
            </w:r>
          </w:p>
        </w:tc>
      </w:tr>
      <w:tr>
        <w:trPr>
          <w:tblHeader w:val="false"/>
        </w:trPr>
        <w:tc>
          <w:tcPr>
            <w:tcW w:type="dxa" w:w="30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Reviewed By:</w:t>
            </w:r>
          </w:p>
        </w:tc>
        <w:tc>
          <w:tcPr>
            <w:tcW w:type="dxa" w:w="47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Name:</w:t>
            </w:r>
          </w:p>
        </w:tc>
        <w:tc>
          <w:tcPr>
            <w:tcW w:type="dxa" w:w="30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Signed / Date:</w:t>
            </w:r>
          </w:p>
        </w:tc>
        <w:tc>
          <w:tcPr>
            <w:tcW w:type="dxa" w:w="469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
            </w:r>
          </w:p>
        </w:tc>
      </w:tr>
      <w:tr>
        <w:trPr>
          <w:tblHeader w:val="false"/>
        </w:trPr>
        <w:tc>
          <w:tcPr>
            <w:tcW w:type="dxa" w:w="3000"/>
            <w:gridSpan w:val="4"/>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Risk assessment must be reviewed every 12 months or where significant changes occur. Next review due: ___/___/______</w:t>
            </w:r>
          </w:p>
        </w:tc>
      </w:tr>
    </w:tbl>
    <w:p>
      <w:pPr>
        <w:spacing w:after="60"/>
      </w:pPr>
    </w:p>
    <w:tbl>
      <w:tblPr>
        <w:tblW w:type="dxa" w:w="6700"/>
        <w:tblBorders>
          <w:top w:val="single" w:color="auto" w:sz="4"/>
          <w:left w:val="single" w:color="auto" w:sz="4"/>
          <w:bottom w:val="single" w:color="auto" w:sz="4"/>
          <w:right w:val="single" w:color="auto" w:sz="4"/>
          <w:insideH w:val="single" w:color="auto" w:sz="4"/>
          <w:insideV w:val="single" w:color="auto" w:sz="4"/>
        </w:tblBorders>
      </w:tblPr>
      <w:tblGrid>
        <w:gridCol w:w="1600"/>
        <w:gridCol w:w="1600"/>
        <w:gridCol w:w="700"/>
        <w:gridCol w:w="700"/>
        <w:gridCol w:w="700"/>
        <w:gridCol w:w="700"/>
        <w:gridCol w:w="700"/>
      </w:tblGrid>
      <w:tr>
        <w:trPr>
          <w:tblHeader w:val="false"/>
        </w:trPr>
        <w:tc>
          <w:tcPr>
            <w:tcW w:type="dxa" w:w="1600"/>
            <w:gridSpan w:val="7"/>
            <w:tcBorders>
              <w:top w:val="single" w:color="1B365D" w:sz="3"/>
              <w:left w:val="single" w:color="BFBFBF" w:sz="1"/>
              <w:bottom w:val="single" w:color="BFBFBF" w:sz="1"/>
              <w:right w:val="single" w:color="BFBFBF" w:sz="1"/>
            </w:tcBorders>
            <w:shd w:fill="0f172a" w:val="clear"/>
            <w:tcMar>
              <w:top w:type="dxa" w:w="40"/>
              <w:left w:type="dxa" w:w="80"/>
              <w:bottom w:type="dxa" w:w="40"/>
              <w:right w:type="dxa" w:w="80"/>
            </w:tcMar>
          </w:tcPr>
          <w:p>
            <w:pPr>
              <w:spacing w:before="20" w:after="20"/>
            </w:pPr>
            <w:r>
              <w:rPr>
                <w:rFonts w:ascii="Arial" w:cs="Arial" w:eastAsia="Arial" w:hAnsi="Arial"/>
                <w:b/>
                <w:bCs/>
                <w:color w:val="FFFFFF"/>
                <w:sz w:val="24"/>
                <w:szCs w:val="24"/>
              </w:rPr>
              <w:t xml:space="preserve">RISK MATRIX (Likelihood × Severity)</w:t>
            </w:r>
          </w:p>
        </w:tc>
      </w:tr>
      <w:tr>
        <w:trPr>
          <w:tblHeader w:val="false"/>
        </w:trPr>
        <w:tc>
          <w:tcPr>
            <w:tcW w:type="dxa" w:w="160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
            </w:r>
          </w:p>
        </w:tc>
        <w:tc>
          <w:tcPr>
            <w:tcW w:type="dxa" w:w="160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Severity →</w:t>
            </w:r>
          </w:p>
        </w:tc>
        <w:tc>
          <w:tcPr>
            <w:tcW w:type="dxa" w:w="70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5</w:t>
            </w:r>
          </w:p>
        </w:tc>
        <w:tc>
          <w:tcPr>
            <w:tcW w:type="dxa" w:w="70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4</w:t>
            </w:r>
          </w:p>
        </w:tc>
        <w:tc>
          <w:tcPr>
            <w:tcW w:type="dxa" w:w="70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3</w:t>
            </w:r>
          </w:p>
        </w:tc>
        <w:tc>
          <w:tcPr>
            <w:tcW w:type="dxa" w:w="70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2</w:t>
            </w:r>
          </w:p>
        </w:tc>
        <w:tc>
          <w:tcPr>
            <w:tcW w:type="dxa" w:w="70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1</w:t>
            </w:r>
          </w:p>
        </w:tc>
      </w:tr>
      <w:tr>
        <w:trPr>
          <w:tblHeader w:val="false"/>
        </w:trPr>
        <w:tc>
          <w:tcPr>
            <w:tcW w:type="dxa" w:w="16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5 Frequent</w:t>
            </w:r>
          </w:p>
        </w:tc>
        <w:tc>
          <w:tcPr>
            <w:tcW w:type="dxa" w:w="1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1+/week</w:t>
            </w:r>
          </w:p>
        </w:tc>
        <w:tc>
          <w:tcPr>
            <w:tcW w:type="dxa" w:w="7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25</w:t>
            </w:r>
          </w:p>
        </w:tc>
        <w:tc>
          <w:tcPr>
            <w:tcW w:type="dxa" w:w="7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20</w:t>
            </w:r>
          </w:p>
        </w:tc>
        <w:tc>
          <w:tcPr>
            <w:tcW w:type="dxa" w:w="7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70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10</w:t>
            </w:r>
          </w:p>
        </w:tc>
        <w:tc>
          <w:tcPr>
            <w:tcW w:type="dxa" w:w="70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16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4 Probable</w:t>
            </w:r>
          </w:p>
        </w:tc>
        <w:tc>
          <w:tcPr>
            <w:tcW w:type="dxa" w:w="1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1/month</w:t>
            </w:r>
          </w:p>
        </w:tc>
        <w:tc>
          <w:tcPr>
            <w:tcW w:type="dxa" w:w="7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20</w:t>
            </w:r>
          </w:p>
        </w:tc>
        <w:tc>
          <w:tcPr>
            <w:tcW w:type="dxa" w:w="7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16</w:t>
            </w:r>
          </w:p>
        </w:tc>
        <w:tc>
          <w:tcPr>
            <w:tcW w:type="dxa" w:w="7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12</w:t>
            </w:r>
          </w:p>
        </w:tc>
        <w:tc>
          <w:tcPr>
            <w:tcW w:type="dxa" w:w="70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8</w:t>
            </w:r>
          </w:p>
        </w:tc>
        <w:tc>
          <w:tcPr>
            <w:tcW w:type="dxa" w:w="700"/>
            <w:tcBorders>
              <w:top w:val="single" w:color="BFBFBF" w:sz="1"/>
              <w:left w:val="single" w:color="BFBFBF" w:sz="1"/>
              <w:bottom w:val="single" w:color="BFBFBF" w:sz="1"/>
              <w:right w:val="single" w:color="BFBFBF" w:sz="1"/>
            </w:tcBorders>
            <w:shd w:fill="E8F5E9" w:val="clear"/>
            <w:tcMar>
              <w:top w:type="dxa" w:w="40"/>
              <w:left w:type="dxa" w:w="80"/>
              <w:bottom w:type="dxa" w:w="40"/>
              <w:right w:type="dxa" w:w="80"/>
            </w:tcMar>
            <w:vAlign w:val="center"/>
          </w:tcPr>
          <w:p>
            <w:pPr>
              <w:spacing w:before="20" w:after="20"/>
              <w:jc w:val="center"/>
            </w:pPr>
            <w:r>
              <w:rPr>
                <w:rFonts w:ascii="Arial" w:cs="Arial" w:eastAsia="Arial" w:hAnsi="Arial"/>
                <w:b/>
                <w:bCs/>
                <w:color w:val="007A33"/>
                <w:sz w:val="24"/>
                <w:szCs w:val="24"/>
              </w:rPr>
              <w:t xml:space="preserve">4</w:t>
            </w:r>
          </w:p>
        </w:tc>
      </w:tr>
      <w:tr>
        <w:trPr>
          <w:tblHeader w:val="false"/>
        </w:trPr>
        <w:tc>
          <w:tcPr>
            <w:tcW w:type="dxa" w:w="16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3 Occasional</w:t>
            </w:r>
          </w:p>
        </w:tc>
        <w:tc>
          <w:tcPr>
            <w:tcW w:type="dxa" w:w="1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1/year</w:t>
            </w:r>
          </w:p>
        </w:tc>
        <w:tc>
          <w:tcPr>
            <w:tcW w:type="dxa" w:w="7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7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12</w:t>
            </w:r>
          </w:p>
        </w:tc>
        <w:tc>
          <w:tcPr>
            <w:tcW w:type="dxa" w:w="70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9</w:t>
            </w:r>
          </w:p>
        </w:tc>
        <w:tc>
          <w:tcPr>
            <w:tcW w:type="dxa" w:w="70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6</w:t>
            </w:r>
          </w:p>
        </w:tc>
        <w:tc>
          <w:tcPr>
            <w:tcW w:type="dxa" w:w="700"/>
            <w:tcBorders>
              <w:top w:val="single" w:color="BFBFBF" w:sz="1"/>
              <w:left w:val="single" w:color="BFBFBF" w:sz="1"/>
              <w:bottom w:val="single" w:color="BFBFBF" w:sz="1"/>
              <w:right w:val="single" w:color="BFBFBF" w:sz="1"/>
            </w:tcBorders>
            <w:shd w:fill="E8F5E9" w:val="clear"/>
            <w:tcMar>
              <w:top w:type="dxa" w:w="40"/>
              <w:left w:type="dxa" w:w="80"/>
              <w:bottom w:type="dxa" w:w="40"/>
              <w:right w:type="dxa" w:w="80"/>
            </w:tcMar>
            <w:vAlign w:val="center"/>
          </w:tcPr>
          <w:p>
            <w:pPr>
              <w:spacing w:before="20" w:after="20"/>
              <w:jc w:val="center"/>
            </w:pPr>
            <w:r>
              <w:rPr>
                <w:rFonts w:ascii="Arial" w:cs="Arial" w:eastAsia="Arial" w:hAnsi="Arial"/>
                <w:b/>
                <w:bCs/>
                <w:color w:val="007A33"/>
                <w:sz w:val="24"/>
                <w:szCs w:val="24"/>
              </w:rPr>
              <w:t xml:space="preserve">3</w:t>
            </w:r>
          </w:p>
        </w:tc>
      </w:tr>
      <w:tr>
        <w:trPr>
          <w:tblHeader w:val="false"/>
        </w:trPr>
        <w:tc>
          <w:tcPr>
            <w:tcW w:type="dxa" w:w="16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2 Remote</w:t>
            </w:r>
          </w:p>
        </w:tc>
        <w:tc>
          <w:tcPr>
            <w:tcW w:type="dxa" w:w="1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1 in 10 yrs</w:t>
            </w:r>
          </w:p>
        </w:tc>
        <w:tc>
          <w:tcPr>
            <w:tcW w:type="dxa" w:w="70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10</w:t>
            </w:r>
          </w:p>
        </w:tc>
        <w:tc>
          <w:tcPr>
            <w:tcW w:type="dxa" w:w="70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8</w:t>
            </w:r>
          </w:p>
        </w:tc>
        <w:tc>
          <w:tcPr>
            <w:tcW w:type="dxa" w:w="70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6</w:t>
            </w:r>
          </w:p>
        </w:tc>
        <w:tc>
          <w:tcPr>
            <w:tcW w:type="dxa" w:w="700"/>
            <w:tcBorders>
              <w:top w:val="single" w:color="BFBFBF" w:sz="1"/>
              <w:left w:val="single" w:color="BFBFBF" w:sz="1"/>
              <w:bottom w:val="single" w:color="BFBFBF" w:sz="1"/>
              <w:right w:val="single" w:color="BFBFBF" w:sz="1"/>
            </w:tcBorders>
            <w:shd w:fill="E8F5E9" w:val="clear"/>
            <w:tcMar>
              <w:top w:type="dxa" w:w="40"/>
              <w:left w:type="dxa" w:w="80"/>
              <w:bottom w:type="dxa" w:w="40"/>
              <w:right w:type="dxa" w:w="80"/>
            </w:tcMar>
            <w:vAlign w:val="center"/>
          </w:tcPr>
          <w:p>
            <w:pPr>
              <w:spacing w:before="20" w:after="20"/>
              <w:jc w:val="center"/>
            </w:pPr>
            <w:r>
              <w:rPr>
                <w:rFonts w:ascii="Arial" w:cs="Arial" w:eastAsia="Arial" w:hAnsi="Arial"/>
                <w:b/>
                <w:bCs/>
                <w:color w:val="007A33"/>
                <w:sz w:val="24"/>
                <w:szCs w:val="24"/>
              </w:rPr>
              <w:t xml:space="preserve">4</w:t>
            </w:r>
          </w:p>
        </w:tc>
        <w:tc>
          <w:tcPr>
            <w:tcW w:type="dxa" w:w="700"/>
            <w:tcBorders>
              <w:top w:val="single" w:color="BFBFBF" w:sz="1"/>
              <w:left w:val="single" w:color="BFBFBF" w:sz="1"/>
              <w:bottom w:val="single" w:color="BFBFBF" w:sz="1"/>
              <w:right w:val="single" w:color="BFBFBF" w:sz="1"/>
            </w:tcBorders>
            <w:shd w:fill="E8F5E9" w:val="clear"/>
            <w:tcMar>
              <w:top w:type="dxa" w:w="40"/>
              <w:left w:type="dxa" w:w="80"/>
              <w:bottom w:type="dxa" w:w="40"/>
              <w:right w:type="dxa" w:w="80"/>
            </w:tcMar>
            <w:vAlign w:val="center"/>
          </w:tcPr>
          <w:p>
            <w:pPr>
              <w:spacing w:before="20" w:after="20"/>
              <w:jc w:val="center"/>
            </w:pPr>
            <w:r>
              <w:rPr>
                <w:rFonts w:ascii="Arial" w:cs="Arial" w:eastAsia="Arial" w:hAnsi="Arial"/>
                <w:b/>
                <w:bCs/>
                <w:color w:val="007A33"/>
                <w:sz w:val="24"/>
                <w:szCs w:val="24"/>
              </w:rPr>
              <w:t xml:space="preserve">2</w:t>
            </w:r>
          </w:p>
        </w:tc>
      </w:tr>
      <w:tr>
        <w:trPr>
          <w:tblHeader w:val="false"/>
        </w:trPr>
        <w:tc>
          <w:tcPr>
            <w:tcW w:type="dxa" w:w="16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1 Improbable</w:t>
            </w:r>
          </w:p>
        </w:tc>
        <w:tc>
          <w:tcPr>
            <w:tcW w:type="dxa" w:w="1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1 in 100 yrs</w:t>
            </w:r>
          </w:p>
        </w:tc>
        <w:tc>
          <w:tcPr>
            <w:tcW w:type="dxa" w:w="70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c>
          <w:tcPr>
            <w:tcW w:type="dxa" w:w="700"/>
            <w:tcBorders>
              <w:top w:val="single" w:color="BFBFBF" w:sz="1"/>
              <w:left w:val="single" w:color="BFBFBF" w:sz="1"/>
              <w:bottom w:val="single" w:color="BFBFBF" w:sz="1"/>
              <w:right w:val="single" w:color="BFBFBF" w:sz="1"/>
            </w:tcBorders>
            <w:shd w:fill="E8F5E9" w:val="clear"/>
            <w:tcMar>
              <w:top w:type="dxa" w:w="40"/>
              <w:left w:type="dxa" w:w="80"/>
              <w:bottom w:type="dxa" w:w="40"/>
              <w:right w:type="dxa" w:w="80"/>
            </w:tcMar>
            <w:vAlign w:val="center"/>
          </w:tcPr>
          <w:p>
            <w:pPr>
              <w:spacing w:before="20" w:after="20"/>
              <w:jc w:val="center"/>
            </w:pPr>
            <w:r>
              <w:rPr>
                <w:rFonts w:ascii="Arial" w:cs="Arial" w:eastAsia="Arial" w:hAnsi="Arial"/>
                <w:b/>
                <w:bCs/>
                <w:color w:val="007A33"/>
                <w:sz w:val="24"/>
                <w:szCs w:val="24"/>
              </w:rPr>
              <w:t xml:space="preserve">4</w:t>
            </w:r>
          </w:p>
        </w:tc>
        <w:tc>
          <w:tcPr>
            <w:tcW w:type="dxa" w:w="700"/>
            <w:tcBorders>
              <w:top w:val="single" w:color="BFBFBF" w:sz="1"/>
              <w:left w:val="single" w:color="BFBFBF" w:sz="1"/>
              <w:bottom w:val="single" w:color="BFBFBF" w:sz="1"/>
              <w:right w:val="single" w:color="BFBFBF" w:sz="1"/>
            </w:tcBorders>
            <w:shd w:fill="E8F5E9" w:val="clear"/>
            <w:tcMar>
              <w:top w:type="dxa" w:w="40"/>
              <w:left w:type="dxa" w:w="80"/>
              <w:bottom w:type="dxa" w:w="40"/>
              <w:right w:type="dxa" w:w="80"/>
            </w:tcMar>
            <w:vAlign w:val="center"/>
          </w:tcPr>
          <w:p>
            <w:pPr>
              <w:spacing w:before="20" w:after="20"/>
              <w:jc w:val="center"/>
            </w:pPr>
            <w:r>
              <w:rPr>
                <w:rFonts w:ascii="Arial" w:cs="Arial" w:eastAsia="Arial" w:hAnsi="Arial"/>
                <w:b/>
                <w:bCs/>
                <w:color w:val="007A33"/>
                <w:sz w:val="24"/>
                <w:szCs w:val="24"/>
              </w:rPr>
              <w:t xml:space="preserve">3</w:t>
            </w:r>
          </w:p>
        </w:tc>
        <w:tc>
          <w:tcPr>
            <w:tcW w:type="dxa" w:w="700"/>
            <w:tcBorders>
              <w:top w:val="single" w:color="BFBFBF" w:sz="1"/>
              <w:left w:val="single" w:color="BFBFBF" w:sz="1"/>
              <w:bottom w:val="single" w:color="BFBFBF" w:sz="1"/>
              <w:right w:val="single" w:color="BFBFBF" w:sz="1"/>
            </w:tcBorders>
            <w:shd w:fill="E8F5E9" w:val="clear"/>
            <w:tcMar>
              <w:top w:type="dxa" w:w="40"/>
              <w:left w:type="dxa" w:w="80"/>
              <w:bottom w:type="dxa" w:w="40"/>
              <w:right w:type="dxa" w:w="80"/>
            </w:tcMar>
            <w:vAlign w:val="center"/>
          </w:tcPr>
          <w:p>
            <w:pPr>
              <w:spacing w:before="20" w:after="20"/>
              <w:jc w:val="center"/>
            </w:pPr>
            <w:r>
              <w:rPr>
                <w:rFonts w:ascii="Arial" w:cs="Arial" w:eastAsia="Arial" w:hAnsi="Arial"/>
                <w:b/>
                <w:bCs/>
                <w:color w:val="007A33"/>
                <w:sz w:val="24"/>
                <w:szCs w:val="24"/>
              </w:rPr>
              <w:t xml:space="preserve">2</w:t>
            </w:r>
          </w:p>
        </w:tc>
        <w:tc>
          <w:tcPr>
            <w:tcW w:type="dxa" w:w="700"/>
            <w:tcBorders>
              <w:top w:val="single" w:color="BFBFBF" w:sz="1"/>
              <w:left w:val="single" w:color="BFBFBF" w:sz="1"/>
              <w:bottom w:val="single" w:color="BFBFBF" w:sz="1"/>
              <w:right w:val="single" w:color="BFBFBF" w:sz="1"/>
            </w:tcBorders>
            <w:shd w:fill="E8F5E9" w:val="clear"/>
            <w:tcMar>
              <w:top w:type="dxa" w:w="40"/>
              <w:left w:type="dxa" w:w="80"/>
              <w:bottom w:type="dxa" w:w="40"/>
              <w:right w:type="dxa" w:w="80"/>
            </w:tcMar>
            <w:vAlign w:val="center"/>
          </w:tcPr>
          <w:p>
            <w:pPr>
              <w:spacing w:before="20" w:after="20"/>
              <w:jc w:val="center"/>
            </w:pPr>
            <w:r>
              <w:rPr>
                <w:rFonts w:ascii="Arial" w:cs="Arial" w:eastAsia="Arial" w:hAnsi="Arial"/>
                <w:b/>
                <w:bCs/>
                <w:color w:val="007A33"/>
                <w:sz w:val="24"/>
                <w:szCs w:val="24"/>
              </w:rPr>
              <w:t xml:space="preserve">1</w:t>
            </w:r>
          </w:p>
        </w:tc>
      </w:tr>
    </w:tbl>
    <w:p>
      <w:pPr>
        <w:spacing w:after="40"/>
      </w:pPr>
    </w:p>
    <w:tbl>
      <w:tblPr>
        <w:tblW w:type="dxa" w:w="6700"/>
        <w:tblBorders>
          <w:top w:val="single" w:color="auto" w:sz="4"/>
          <w:left w:val="single" w:color="auto" w:sz="4"/>
          <w:bottom w:val="single" w:color="auto" w:sz="4"/>
          <w:right w:val="single" w:color="auto" w:sz="4"/>
          <w:insideH w:val="single" w:color="auto" w:sz="4"/>
          <w:insideV w:val="single" w:color="auto" w:sz="4"/>
        </w:tblBorders>
      </w:tblPr>
      <w:tblGrid>
        <w:gridCol w:w="1500"/>
        <w:gridCol w:w="5200"/>
      </w:tblGrid>
      <w:tr>
        <w:trPr>
          <w:tblHeader w:val="false"/>
        </w:trPr>
        <w:tc>
          <w:tcPr>
            <w:tcW w:type="dxa" w:w="1500"/>
            <w:gridSpan w:val="2"/>
            <w:tcBorders>
              <w:top w:val="single" w:color="1B365D" w:sz="3"/>
              <w:left w:val="single" w:color="BFBFBF" w:sz="1"/>
              <w:bottom w:val="single" w:color="BFBFBF" w:sz="1"/>
              <w:right w:val="single" w:color="BFBFBF" w:sz="1"/>
            </w:tcBorders>
            <w:shd w:fill="0f172a" w:val="clear"/>
            <w:tcMar>
              <w:top w:type="dxa" w:w="40"/>
              <w:left w:type="dxa" w:w="80"/>
              <w:bottom w:type="dxa" w:w="40"/>
              <w:right w:type="dxa" w:w="80"/>
            </w:tcMar>
          </w:tcPr>
          <w:p>
            <w:pPr>
              <w:spacing w:before="20" w:after="20"/>
            </w:pPr>
            <w:r>
              <w:rPr>
                <w:rFonts w:ascii="Arial" w:cs="Arial" w:eastAsia="Arial" w:hAnsi="Arial"/>
                <w:b/>
                <w:bCs/>
                <w:color w:val="FFFFFF"/>
                <w:sz w:val="24"/>
                <w:szCs w:val="24"/>
              </w:rPr>
              <w:t xml:space="preserve">RESIDUAL RISK RATING KEY</w:t>
            </w:r>
          </w:p>
        </w:tc>
      </w:tr>
      <w:tr>
        <w:trPr>
          <w:tblHeader w:val="false"/>
        </w:trPr>
        <w:tc>
          <w:tcPr>
            <w:tcW w:type="dxa" w:w="15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tcPr>
          <w:p>
            <w:r>
              <w:rPr>
                <w:rFonts w:ascii="Arial" w:cs="Arial" w:eastAsia="Arial" w:hAnsi="Arial"/>
                <w:b/>
                <w:bCs/>
                <w:color w:val="C00000"/>
                <w:sz w:val="24"/>
                <w:szCs w:val="24"/>
              </w:rPr>
              <w:t xml:space="preserve">12 – 25:</w:t>
            </w:r>
          </w:p>
        </w:tc>
        <w:tc>
          <w:tcPr>
            <w:tcW w:type="dxa" w:w="52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Unacceptable level of risk. Risk level MUST be reduced. Operations must not proceed.</w:t>
            </w:r>
          </w:p>
        </w:tc>
      </w:tr>
      <w:tr>
        <w:trPr>
          <w:tblHeader w:val="false"/>
        </w:trPr>
        <w:tc>
          <w:tcPr>
            <w:tcW w:type="dxa" w:w="150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tcPr>
          <w:p>
            <w:r>
              <w:rPr>
                <w:rFonts w:ascii="Arial" w:cs="Arial" w:eastAsia="Arial" w:hAnsi="Arial"/>
                <w:b/>
                <w:bCs/>
                <w:color w:val="BF8F00"/>
                <w:sz w:val="24"/>
                <w:szCs w:val="24"/>
              </w:rPr>
              <w:t xml:space="preserve">5 – 10:</w:t>
            </w:r>
          </w:p>
        </w:tc>
        <w:tc>
          <w:tcPr>
            <w:tcW w:type="dxa" w:w="52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Acceptable where principles of prevention applied and risk reduced so far as is reasonably practicable (SFAIRP).</w:t>
            </w:r>
          </w:p>
        </w:tc>
      </w:tr>
      <w:tr>
        <w:trPr>
          <w:tblHeader w:val="false"/>
        </w:trPr>
        <w:tc>
          <w:tcPr>
            <w:tcW w:type="dxa" w:w="1500"/>
            <w:tcBorders>
              <w:top w:val="single" w:color="BFBFBF" w:sz="1"/>
              <w:left w:val="single" w:color="BFBFBF" w:sz="1"/>
              <w:bottom w:val="single" w:color="BFBFBF" w:sz="1"/>
              <w:right w:val="single" w:color="BFBFBF" w:sz="1"/>
            </w:tcBorders>
            <w:shd w:fill="E8F5E9" w:val="clear"/>
            <w:tcMar>
              <w:top w:type="dxa" w:w="40"/>
              <w:left w:type="dxa" w:w="80"/>
              <w:bottom w:type="dxa" w:w="40"/>
              <w:right w:type="dxa" w:w="80"/>
            </w:tcMar>
          </w:tcPr>
          <w:p>
            <w:r>
              <w:rPr>
                <w:rFonts w:ascii="Arial" w:cs="Arial" w:eastAsia="Arial" w:hAnsi="Arial"/>
                <w:b/>
                <w:bCs/>
                <w:color w:val="007A33"/>
                <w:sz w:val="24"/>
                <w:szCs w:val="24"/>
              </w:rPr>
              <w:t xml:space="preserve">1 – 4:</w:t>
            </w:r>
          </w:p>
        </w:tc>
        <w:tc>
          <w:tcPr>
            <w:tcW w:type="dxa" w:w="52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Acceptable level of risk. Continual review to confirm hazards and control measures remain valid.</w:t>
            </w:r>
          </w:p>
        </w:tc>
      </w:tr>
    </w:tbl>
    <w:p>
      <w:r>
        <w:br w:type="page"/>
      </w:r>
    </w:p>
    <w:tbl>
      <w:tblPr>
        <w:tblW w:type="dxa" w:w="15398"/>
        <w:tblBorders>
          <w:top w:val="single" w:color="auto" w:sz="4"/>
          <w:left w:val="single" w:color="auto" w:sz="4"/>
          <w:bottom w:val="single" w:color="auto" w:sz="4"/>
          <w:right w:val="single" w:color="auto" w:sz="4"/>
          <w:insideH w:val="single" w:color="auto" w:sz="4"/>
          <w:insideV w:val="single" w:color="auto" w:sz="4"/>
        </w:tblBorders>
      </w:tblPr>
      <w:tblGrid>
        <w:gridCol w:w="350"/>
        <w:gridCol w:w="1900"/>
        <w:gridCol w:w="850"/>
        <w:gridCol w:w="900"/>
        <w:gridCol w:w="320"/>
        <w:gridCol w:w="320"/>
        <w:gridCol w:w="400"/>
        <w:gridCol w:w="8738"/>
        <w:gridCol w:w="600"/>
        <w:gridCol w:w="320"/>
        <w:gridCol w:w="320"/>
        <w:gridCol w:w="380"/>
      </w:tblGrid>
      <w:tr>
        <w:trPr>
          <w:tblHeader/>
        </w:trPr>
        <w:tc>
          <w:tcPr>
            <w:tcW w:type="dxa" w:w="35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No.</w:t>
            </w:r>
          </w:p>
        </w:tc>
        <w:tc>
          <w:tcPr>
            <w:tcW w:type="dxa" w:w="190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Activity / Hazard</w:t>
            </w:r>
          </w:p>
        </w:tc>
        <w:tc>
          <w:tcPr>
            <w:tcW w:type="dxa" w:w="85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Who</w:t>
            </w:r>
          </w:p>
        </w:tc>
        <w:tc>
          <w:tcPr>
            <w:tcW w:type="dxa" w:w="90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Consequence</w:t>
            </w:r>
          </w:p>
        </w:tc>
        <w:tc>
          <w:tcPr>
            <w:tcW w:type="dxa" w:w="32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L</w:t>
            </w:r>
          </w:p>
        </w:tc>
        <w:tc>
          <w:tcPr>
            <w:tcW w:type="dxa" w:w="32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S</w:t>
            </w:r>
          </w:p>
        </w:tc>
        <w:tc>
          <w:tcPr>
            <w:tcW w:type="dxa" w:w="40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IRR</w:t>
            </w:r>
          </w:p>
        </w:tc>
        <w:tc>
          <w:tcPr>
            <w:tcW w:type="dxa" w:w="8738"/>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Control Measures</w:t>
            </w:r>
          </w:p>
        </w:tc>
        <w:tc>
          <w:tcPr>
            <w:tcW w:type="dxa" w:w="60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Resp.</w:t>
            </w:r>
          </w:p>
        </w:tc>
        <w:tc>
          <w:tcPr>
            <w:tcW w:type="dxa" w:w="32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L</w:t>
            </w:r>
          </w:p>
        </w:tc>
        <w:tc>
          <w:tcPr>
            <w:tcW w:type="dxa" w:w="32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S</w:t>
            </w:r>
          </w:p>
        </w:tc>
        <w:tc>
          <w:tcPr>
            <w:tcW w:type="dxa" w:w="380"/>
            <w:gridSpan w:val="1"/>
            <w:tcBorders>
              <w:top w:val="single" w:color="BFBFBF" w:sz="1"/>
              <w:left w:val="single" w:color="BFBFBF" w:sz="1"/>
              <w:bottom w:val="single" w:color="BFBFBF" w:sz="1"/>
              <w:right w:val="single" w:color="BFBFBF" w:sz="1"/>
            </w:tcBorders>
            <w:shd w:fill="1B365D" w:val="clear"/>
            <w:tcMar>
              <w:top w:type="dxa" w:w="40"/>
              <w:left w:type="dxa" w:w="80"/>
              <w:bottom w:type="dxa" w:w="40"/>
              <w:right w:type="dxa" w:w="80"/>
            </w:tcMar>
            <w:vAlign w:val="center"/>
          </w:tcPr>
          <w:p>
            <w:pPr>
              <w:spacing w:before="20" w:after="20"/>
              <w:jc w:val="center"/>
            </w:pPr>
            <w:r>
              <w:rPr>
                <w:rFonts w:ascii="Arial" w:cs="Arial" w:eastAsia="Arial" w:hAnsi="Arial"/>
                <w:b/>
                <w:bCs/>
                <w:color w:val="FFFFFF"/>
                <w:sz w:val="24"/>
                <w:szCs w:val="24"/>
              </w:rPr>
              <w:t xml:space="preserve">RRR</w:t>
            </w:r>
          </w:p>
        </w:tc>
      </w:tr>
      <w:tr>
        <w:trPr>
          <w:tblHeader w:val="false"/>
        </w:trPr>
        <w:tc>
          <w:tcPr>
            <w:tcW w:type="dxa" w:w="350"/>
            <w:gridSpan w:val="12"/>
            <w:tcBorders>
              <w:top w:val="single" w:color="1B365D" w:sz="3"/>
              <w:left w:val="single" w:color="BFBFBF" w:sz="1"/>
              <w:bottom w:val="single" w:color="BFBFBF" w:sz="1"/>
              <w:right w:val="single" w:color="BFBFBF" w:sz="1"/>
            </w:tcBorders>
            <w:shd w:fill="0f172a" w:val="clear"/>
            <w:tcMar>
              <w:top w:type="dxa" w:w="40"/>
              <w:left w:type="dxa" w:w="80"/>
              <w:bottom w:type="dxa" w:w="40"/>
              <w:right w:type="dxa" w:w="80"/>
            </w:tcMar>
          </w:tcPr>
          <w:p>
            <w:pPr>
              <w:spacing w:before="20" w:after="20"/>
            </w:pPr>
            <w:r>
              <w:rPr>
                <w:rFonts w:ascii="Arial" w:cs="Arial" w:eastAsia="Arial" w:hAnsi="Arial"/>
                <w:b/>
                <w:bCs/>
                <w:color w:val="FFFFFF"/>
                <w:sz w:val="24"/>
                <w:szCs w:val="24"/>
              </w:rPr>
              <w:t xml:space="preserve">PLANNING</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Authoring and reviewing of lift plan</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Lifting team, site personnel, public</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Fatality, major injury, structural collapse</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Lift plan prepared and signed by competent Appointed Person (CPA 3.0, BS 7121-1). Plan to include load description, equipment selection, sequence of operations, ground assessment, exclusion zones, personnel, contingency and rescue procedures (CPA 3.10). Lift category assigned per CPA Figure 3. Site-specific risk assessment completed. Plan reviewed before works commence and amended if circumstances change (CPA 3.13). Communicated to all lifting team with signed briefing record. Principal Contractor notified (CDM 2015).</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AP</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2</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Lifting team competences and experience</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Lifting team, site personnel</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Fatality, major injury from incompetent operation</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All lifting team hold current CPCS/NPORS: Operator A58c/A59c (lifting duties) or N202/N100; Slinger-signaller A40a/b/d or N402; Lifting Supervisor A62 or N405 (mandatory for Intermediate/Complex lifts); Vehicle Marshall A73 or N403 (CPA 5.0). Cards checked before operations commence. Competence cards alone not sufficient – AP to verify practical experience matches complexity of lift (CPA 3.11, 5.4). Operator familiarisation for specific machine completed (CPA Annex D). Language abilities confirmed for all team members.</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AP</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Suitability of excavator for lifting operation</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Lifting team, site personnel</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Overturning, structural failure, dropped load</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Excavator justified as most suitable via risk assessment – not selected by default because already on site (CPA 1.0, PUWER Reg 4). Machine equipped with: hose burst check valves on boom and dipper, overload warning or RCI, load hooking device with safety catch (CPA 4.3). Correct duties chart obtained for precise configuration used on site – sales leaflets not relied upon (CPA 4.4). Quick hitch weight and WLL confirmed; CE marked with secondary retention. All lifting accessories CE marked with visible WLL, inspected before each use. 10% factor of safety applied to all load calculations. Utilisation percentage calculated and recorded.</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AP</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4</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Ground conditions and loads imposed by excavator</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Lifting team, site personnel</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Machine overturning, ground collapse, subsidence</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Ground assessed and recorded including CBR testing where required (CPA Ground Conditions Guidance). Bearing pressure calculated: tracked excavator (track centres × track length gives bearing area) or wheeled excavator (point loadings through outriggers or wheels). Permissible ground bearing pressure confirmed against imposed loads including load at maximum radius. Timber mats or spreader plates provided where required. Machine positioned on firm level ground – slope effect on effective radius accounted for (CPA Figure 8). Proximity to excavations, basements, manholes, and underground services assessed.</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AP / PC</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gridSpan w:val="12"/>
            <w:tcBorders>
              <w:top w:val="single" w:color="1B365D" w:sz="3"/>
              <w:left w:val="single" w:color="BFBFBF" w:sz="1"/>
              <w:bottom w:val="single" w:color="BFBFBF" w:sz="1"/>
              <w:right w:val="single" w:color="BFBFBF" w:sz="1"/>
            </w:tcBorders>
            <w:shd w:fill="0f172a" w:val="clear"/>
            <w:tcMar>
              <w:top w:type="dxa" w:w="40"/>
              <w:left w:type="dxa" w:w="80"/>
              <w:bottom w:type="dxa" w:w="40"/>
              <w:right w:type="dxa" w:w="80"/>
            </w:tcMar>
          </w:tcPr>
          <w:p>
            <w:pPr>
              <w:spacing w:before="20" w:after="20"/>
            </w:pPr>
            <w:r>
              <w:rPr>
                <w:rFonts w:ascii="Arial" w:cs="Arial" w:eastAsia="Arial" w:hAnsi="Arial"/>
                <w:b/>
                <w:bCs/>
                <w:color w:val="FFFFFF"/>
                <w:sz w:val="24"/>
                <w:szCs w:val="24"/>
              </w:rPr>
              <w:t xml:space="preserve">OPERATIONS – DELIVERY &amp; SET-UP</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Delivery of appliance to project</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Driver, site personnel, public</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Collision, struck by, crush injury</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4</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12</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Delivery route and access/egress assessed by AP (CPA 3.15). Vehicle marshall (A73/N403) appointed. Adequate turning and offloading space confirmed. Pedestrian segregation from delivery area. Banksman for reversing manoeuvres. Vehicle not to encroach on excavations or poor ground. Site speed limits enforced. Delivery timed to minimise impact on concurrent operations. Principal Contractor to coordinate deliveries (CDM 2015).</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LS / SM</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4</w:t>
            </w:r>
          </w:p>
        </w:tc>
        <w:tc>
          <w:tcPr>
            <w:tcW w:type="dxa" w:w="380"/>
            <w:tcBorders>
              <w:top w:val="single" w:color="BFBFBF" w:sz="1"/>
              <w:left w:val="single" w:color="BFBFBF" w:sz="1"/>
              <w:bottom w:val="single" w:color="BFBFBF" w:sz="1"/>
              <w:right w:val="single" w:color="BFBFBF" w:sz="1"/>
            </w:tcBorders>
            <w:shd w:fill="E8F5E9" w:val="clear"/>
            <w:tcMar>
              <w:top w:type="dxa" w:w="40"/>
              <w:left w:type="dxa" w:w="80"/>
              <w:bottom w:type="dxa" w:w="40"/>
              <w:right w:type="dxa" w:w="80"/>
            </w:tcMar>
            <w:vAlign w:val="center"/>
          </w:tcPr>
          <w:p>
            <w:pPr>
              <w:spacing w:before="20" w:after="20"/>
              <w:jc w:val="center"/>
            </w:pPr>
            <w:r>
              <w:rPr>
                <w:rFonts w:ascii="Arial" w:cs="Arial" w:eastAsia="Arial" w:hAnsi="Arial"/>
                <w:b/>
                <w:bCs/>
                <w:color w:val="007A33"/>
                <w:sz w:val="24"/>
                <w:szCs w:val="24"/>
              </w:rPr>
              <w:t xml:space="preserve">4</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6</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Appliance maintenance and daily pre-use checks</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Operator, lifting team</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Mechanical failure, hydraulic failure, dropped load</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Daily pre-use checks completed per CPA Annex E: oil, coolant, hydraulic fluid levels; track or tyre condition; pins and bushes; hoses; mirrors and cameras; all safety devices. Check valves confirmed operational. RCI or overload warning tested – alarm must not be muted or disabled. Quick hitch locking mechanism and secondary retention confirmed engaged. Defect reporting system in place – defects affecting safe lifting = machine stood down immediately (CPA 7.0). Thorough examination current: 12-monthly for machine (LOLER Reg 9), 6-monthly for lifting accessories and quick hitch.</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Op / EO</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7</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Work area adjacent to excavation or cofferdam</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Lifting team, site personnel</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Ground collapse, machine overturning into excavation</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Minimum safe distance from edge of excavation established by Temporary Works Coordinator. Edge protection installed. Ground bearing pressure at excavation edge assessed by competent person. Machine tracks positioned parallel to edge where possible. Additional spreader mats deployed at edge. Exclusion zone around excavation maintained during lifting operations. Stop blocks or barriers to prevent encroachment. Continuous monitoring for ground movement. Emergency procedures for ground failure established and briefed.</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AP / TWC</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gridSpan w:val="12"/>
            <w:tcBorders>
              <w:top w:val="single" w:color="1B365D" w:sz="3"/>
              <w:left w:val="single" w:color="BFBFBF" w:sz="1"/>
              <w:bottom w:val="single" w:color="BFBFBF" w:sz="1"/>
              <w:right w:val="single" w:color="BFBFBF" w:sz="1"/>
            </w:tcBorders>
            <w:shd w:fill="0f172a" w:val="clear"/>
            <w:tcMar>
              <w:top w:type="dxa" w:w="40"/>
              <w:left w:type="dxa" w:w="80"/>
              <w:bottom w:type="dxa" w:w="40"/>
              <w:right w:type="dxa" w:w="80"/>
            </w:tcMar>
          </w:tcPr>
          <w:p>
            <w:pPr>
              <w:spacing w:before="20" w:after="20"/>
            </w:pPr>
            <w:r>
              <w:rPr>
                <w:rFonts w:ascii="Arial" w:cs="Arial" w:eastAsia="Arial" w:hAnsi="Arial"/>
                <w:b/>
                <w:bCs/>
                <w:color w:val="FFFFFF"/>
                <w:sz w:val="24"/>
                <w:szCs w:val="24"/>
              </w:rPr>
              <w:t xml:space="preserve">OPERATIONS – MACHINE MOVEMENT</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8</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Machine movement on project – without load</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Site personnel, pedestrians</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Struck by, crush injury, collision</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4</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20</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Pedestrian segregation from plant movement areas (CPA 4.8.3). Designated travel routes established. 360° excavator: cab front faces direction of travel – no reversing unless exclusion zones and marshaller employed. Operator completes walk-around check before moving. Rotating beacon and reversing alarm operational. Walking pace in congested areas. Boom lowered during travel for stability and visibility. Plant crossing points established. High-visibility clothing worn by all site personnel.</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Op / LS</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9</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Machine movement – suspended load (pick and carry)</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Lifting team, site personnel</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Overturning, load swing, struck by</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4</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20</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Pick and carry permitted only where specific pick and carry load chart is available for the machine (CPA 1.0 NOTE). Travel route surveyed for ground conditions, evenness, and slopes (CPA 4.4). Load carried low and close to machine. Walking pace maintained throughout. Slinger-signaller walks ahead, clear of swing radius. No personnel positioned under or in line with load. Exclusion zone maintained around entire load path. Taglines fitted for load control. Wheeled excavators: axle locks engaged – note auto-release on travel drastically alters stability (CPA 4.5). Slope effect on effective radius accounted for (CPA Figure 8). Lift mode engaged where available.</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AP / Op</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10</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Movement with fork attachment – without load</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Site personnel, pedestrians</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Struck by, collision, impalement</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4</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12</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Fork tines lowered to ground during travel. Pedestrian segregation maintained. Marshaller deployed in congested areas. Beacon and alarm operational. Walking pace. Fork CE marked and compatible with machine and quick hitch. Load chart available for fork configuration.</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Op / LS</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4</w:t>
            </w:r>
          </w:p>
        </w:tc>
        <w:tc>
          <w:tcPr>
            <w:tcW w:type="dxa" w:w="380"/>
            <w:tcBorders>
              <w:top w:val="single" w:color="BFBFBF" w:sz="1"/>
              <w:left w:val="single" w:color="BFBFBF" w:sz="1"/>
              <w:bottom w:val="single" w:color="BFBFBF" w:sz="1"/>
              <w:right w:val="single" w:color="BFBFBF" w:sz="1"/>
            </w:tcBorders>
            <w:shd w:fill="E8F5E9" w:val="clear"/>
            <w:tcMar>
              <w:top w:type="dxa" w:w="40"/>
              <w:left w:type="dxa" w:w="80"/>
              <w:bottom w:type="dxa" w:w="40"/>
              <w:right w:type="dxa" w:w="80"/>
            </w:tcMar>
            <w:vAlign w:val="center"/>
          </w:tcPr>
          <w:p>
            <w:pPr>
              <w:spacing w:before="20" w:after="20"/>
              <w:jc w:val="center"/>
            </w:pPr>
            <w:r>
              <w:rPr>
                <w:rFonts w:ascii="Arial" w:cs="Arial" w:eastAsia="Arial" w:hAnsi="Arial"/>
                <w:b/>
                <w:bCs/>
                <w:color w:val="007A33"/>
                <w:sz w:val="24"/>
                <w:szCs w:val="24"/>
              </w:rPr>
              <w:t xml:space="preserve">4</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11</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Movement with fork attachment – with load</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Site personnel, pedestrians</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Dropped load, overturning, struck by</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Fork CE marked with rated capacity for specific machine configuration (CPA 4.2). Correct load chart obtained for fork configuration – forks alter machine geometry and capacity. Load secured and tilted back. Carried as low as possible. Route assessed for ground conditions and gradient. Walking pace. Exclusion zone around load path. Marshaller deployed in congested areas. No riding on forks or load. No personnel in fall zone of load.</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Op / LS</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gridSpan w:val="12"/>
            <w:tcBorders>
              <w:top w:val="single" w:color="1B365D" w:sz="3"/>
              <w:left w:val="single" w:color="BFBFBF" w:sz="1"/>
              <w:bottom w:val="single" w:color="BFBFBF" w:sz="1"/>
              <w:right w:val="single" w:color="BFBFBF" w:sz="1"/>
            </w:tcBorders>
            <w:shd w:fill="0f172a" w:val="clear"/>
            <w:tcMar>
              <w:top w:type="dxa" w:w="40"/>
              <w:left w:type="dxa" w:w="80"/>
              <w:bottom w:type="dxa" w:w="40"/>
              <w:right w:type="dxa" w:w="80"/>
            </w:tcMar>
          </w:tcPr>
          <w:p>
            <w:pPr>
              <w:spacing w:before="20" w:after="20"/>
            </w:pPr>
            <w:r>
              <w:rPr>
                <w:rFonts w:ascii="Arial" w:cs="Arial" w:eastAsia="Arial" w:hAnsi="Arial"/>
                <w:b/>
                <w:bCs/>
                <w:color w:val="FFFFFF"/>
                <w:sz w:val="24"/>
                <w:szCs w:val="24"/>
              </w:rPr>
              <w:t xml:space="preserve">OPERATIONS – LIFTING ACTIVITIES</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12</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Encroachment by unauthorised persons</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Unauthorised persons, public</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Struck by, crush injury, fatality</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4</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20</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Exclusion zone established around full working range of boom, dipper, and load path (CPA 3.3.1(o), 4.8.3). Physical barriers erected as minimum (Heras fencing, concrete barriers). Zone clearly signed with warning notices. Slinger-signaller and Lifting Supervisor monitor zone continuously. All operations cease immediately if zone breached. Permit to work system for adjacent operations within zone. Site induction includes awareness of lifting operations. Public protection measures (hoarding, banksmen, traffic management) near site boundary.</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LS / SM</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13</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Unloading/loading from delivery vehicles</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S/S, driver, site personnel</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Dropped load, crush, struck by</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All delivery offloading planned by AP (CPA 3.15). Vehicle positioned on firm level ground, handbrake applied, engine off, keys removed. Wheels chocked on any gradient. Driver positioned in designated safe zone during lifting. Slinger-signaller inspects load before attachment – confirms weight, centre of gravity, and designated lifting points. Positive sling attachment to designated points – choke hitches avoided where possible (CPA 3.6). Sling angles checked and WLL de-rated accordingly. Taglines fitted for control during initial lift-off. Load not to be passed over vehicle cab.</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AP / S/S</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14</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Access to vehicle bed / fall from height</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S/S, delivery driver</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Fall from height, struck by load</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4</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12</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Three points of contact maintained climbing on and off vehicles. Purpose-designed access equipment provided where vehicle bed height exceeds 2m (Work at Height Regulations 2005). No standing on unsecured loads. Slinger-signaller positions on ground where possible – taglines reduce need to access vehicle bed. Non-slip footwear worn, stable footing confirmed. All personnel clear vehicle bed before any load is raised or lowered.</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S/S / LS</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4</w:t>
            </w:r>
          </w:p>
        </w:tc>
        <w:tc>
          <w:tcPr>
            <w:tcW w:type="dxa" w:w="380"/>
            <w:tcBorders>
              <w:top w:val="single" w:color="BFBFBF" w:sz="1"/>
              <w:left w:val="single" w:color="BFBFBF" w:sz="1"/>
              <w:bottom w:val="single" w:color="BFBFBF" w:sz="1"/>
              <w:right w:val="single" w:color="BFBFBF" w:sz="1"/>
            </w:tcBorders>
            <w:shd w:fill="E8F5E9" w:val="clear"/>
            <w:tcMar>
              <w:top w:type="dxa" w:w="40"/>
              <w:left w:type="dxa" w:w="80"/>
              <w:bottom w:type="dxa" w:w="40"/>
              <w:right w:type="dxa" w:w="80"/>
            </w:tcMar>
            <w:vAlign w:val="center"/>
          </w:tcPr>
          <w:p>
            <w:pPr>
              <w:spacing w:before="20" w:after="20"/>
              <w:jc w:val="center"/>
            </w:pPr>
            <w:r>
              <w:rPr>
                <w:rFonts w:ascii="Arial" w:cs="Arial" w:eastAsia="Arial" w:hAnsi="Arial"/>
                <w:b/>
                <w:bCs/>
                <w:color w:val="007A33"/>
                <w:sz w:val="24"/>
                <w:szCs w:val="24"/>
              </w:rPr>
              <w:t xml:space="preserve">4</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15</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Positioning of slinger-signaller and marshaller</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S/S, vehicle marshall</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Crush between machine and load, struck by</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Designated safe standing positions identified in lift plan (CPA 6.16). Slinger-signaller maintains clear line of sight to operator at all times. Never positions between machine and fixed object or between load and fixed object. Approaches load only when stationary and under control. Vehicle marshall in operator’s line of sight, positioned outside swing radius. Emergency stop signal known by all personnel – ANYONE on site can give emergency stop (OPERC VCOP). Communication protocol agreed and confirmed before operations commence.</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LS</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16</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Miscommunication of hand signals</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Lifting team, site personnel</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Uncontrolled movement, collision, crush</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Excavator-specific hand signals agreed and briefed to all lifting team before operations commence (OPERC VCOP for Excavators, CPA Appendix). Only one person signals operator at any time unless formal transfer of control protocol followed. Radio communication as backup where hand signals may be obstructed. Signal clarity confirmed before each lift – operator must not move if signal is unclear. STOP and EMERGENCY STOP signals understood by all personnel on site. Language differences considered and mitigated (CPA 3.12).</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LS / AP</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17</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Blind lifting – no direct line of sight to load</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Lifting team, site personnel</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Uncontrolled load, collision, overloading</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Avoided wherever possible through repositioning of machine or use of alternative equipment (CPA 3.5). Where unavoidable, lift category increases to minimum Intermediate (CPA Table 1). Dedicated slinger-signaller maintained in continuous visual contact with both load AND operator. Radio communication as backup. Lift plan details exact sequence including heights, radii, and slew positions (CPA 3.3.3). CCTV deployed where available. Trial lift at reduced load to confirm clearances. Lifting Supervisor present on site throughout blind lifting operations.</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AP / LS</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18</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Accessory failure – unplanned release of load</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Lifting team, site personnel</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Dropped load, fatality, major injury</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2</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10</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All lifting accessories CE marked with visible WLL (CPA 3.6, 4.3). Thorough examination completed within preceding 6 months (LOLER Reg 9). Visual inspection carried out before each use – defective items removed from service immediately. Slings protected against sharp edges with softeners or packing. WLL de-rated for sling configuration (angle factor, choke, basket). Positive attachment preferred over choke hitches (CPA 3.6). Safety hook with working latch confirmed. Quick hitch locking mechanism and secondary retention confirmed engaged before each lift. Trial lift performed: load raised 150mm, held, checked for balance and security of attachment. Exclusion zone maintained – no personnel under suspended loads at any time.</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S/S / AP</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19</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Operative positioning while machine travels</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Operator, banksman</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Struck by, crush, fall, run over</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No riding on external parts of machine. Operator seated with seatbelt fastened during all operations. Walk-around check completed before travelling (CPA 4.8.3). Cab front faces direction of travel on 360° machines. Banksman or marshaller walks ahead maintaining eye contact with operator, positioned outside track or wheel path. All personnel maintain minimum 5m clearance from moving excavator. Designated pedestrian routes segregated from plant movement routes.</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Op / LS</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20</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Person/load interface – suspended loads</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S/S, site personnel</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Struck by swing, crush, trapping</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No person positioned under suspended load at any time (LOLER Reg 8(2)(d)). Taglines or handlines fitted to control load orientation and swing (CPA 3.3.1(l)). Slinger-signaller approaches load only when stationary, controlled, and at rest height. Designated safe standing positions identified in lift plan. Load lowered to within 150mm of final position before personnel approach for guidance. Lifting frames or beams used to stabilise load orientation and reduce manual handling (CPA 3.6). No hands placed between load and landing surface – use pre-positioned packing and dunnage. Emergency stop signal briefed to all – anyone can stop operations.</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S/S / LS</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21</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Person/load interface – fork tines in use</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Site personnel</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Impalement, crush, falling load</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No person to walk under or between raised fork tines. No riding on forks or load. Exclusion zone maintained around fork working area. Tines lowered to ground when machine unattended. Rated capacity of fork not exceeded. Load confirmed secured and stable before any travel commences. Operator checks for personnel before raising, lowering, or tilting forks. High-visibility clothing worn by all personnel in fork working area.</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Op / LS</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r>
        <w:trPr>
          <w:tblHeader w:val="false"/>
        </w:trPr>
        <w:tc>
          <w:tcPr>
            <w:tcW w:type="dxa" w:w="350"/>
            <w:gridSpan w:val="12"/>
            <w:tcBorders>
              <w:top w:val="single" w:color="1B365D" w:sz="3"/>
              <w:left w:val="single" w:color="BFBFBF" w:sz="1"/>
              <w:bottom w:val="single" w:color="BFBFBF" w:sz="1"/>
              <w:right w:val="single" w:color="BFBFBF" w:sz="1"/>
            </w:tcBorders>
            <w:shd w:fill="0f172a" w:val="clear"/>
            <w:tcMar>
              <w:top w:type="dxa" w:w="40"/>
              <w:left w:type="dxa" w:w="80"/>
              <w:bottom w:type="dxa" w:w="40"/>
              <w:right w:type="dxa" w:w="80"/>
            </w:tcMar>
          </w:tcPr>
          <w:p>
            <w:pPr>
              <w:spacing w:before="20" w:after="20"/>
            </w:pPr>
            <w:r>
              <w:rPr>
                <w:rFonts w:ascii="Arial" w:cs="Arial" w:eastAsia="Arial" w:hAnsi="Arial"/>
                <w:b/>
                <w:bCs/>
                <w:color w:val="FFFFFF"/>
                <w:sz w:val="24"/>
                <w:szCs w:val="24"/>
              </w:rPr>
              <w:t xml:space="preserve">ENVIRONMENTAL &amp; SAFETY SYSTEMS</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22</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Environmental – wind, rain, visibility, frost</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Lifting team, site personnel</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Uncontrolled load, slippery surfaces, instability</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4</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12</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Maximum wind speed stated in lift plan. Wind monitored by anemometer or Beaufort scale assessment. Operations cease when gusts exceed stated maximum or when windsail area of load creates uncontrolled movement. All operations stop during storms or lightning risk (CPA 3.3.1(c)). Reduced visibility (fog, heavy rain, darkness): operations cease unless adequate artificial lighting provided and operator has clear sight of entire load path. Ground conditions reassessed after heavy rainfall as bearing capacity may be reduced. Anti-slip measures on access routes. Frost and ice: additional checks on hydraulic systems and ground conditions. Dynamic assessment by lifting team at time of each operation.</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LS / Op</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4</w:t>
            </w:r>
          </w:p>
        </w:tc>
        <w:tc>
          <w:tcPr>
            <w:tcW w:type="dxa" w:w="380"/>
            <w:tcBorders>
              <w:top w:val="single" w:color="BFBFBF" w:sz="1"/>
              <w:left w:val="single" w:color="BFBFBF" w:sz="1"/>
              <w:bottom w:val="single" w:color="BFBFBF" w:sz="1"/>
              <w:right w:val="single" w:color="BFBFBF" w:sz="1"/>
            </w:tcBorders>
            <w:shd w:fill="E8F5E9" w:val="clear"/>
            <w:tcMar>
              <w:top w:type="dxa" w:w="40"/>
              <w:left w:type="dxa" w:w="80"/>
              <w:bottom w:type="dxa" w:w="40"/>
              <w:right w:type="dxa" w:w="80"/>
            </w:tcMar>
            <w:vAlign w:val="center"/>
          </w:tcPr>
          <w:p>
            <w:pPr>
              <w:spacing w:before="20" w:after="20"/>
              <w:jc w:val="center"/>
            </w:pPr>
            <w:r>
              <w:rPr>
                <w:rFonts w:ascii="Arial" w:cs="Arial" w:eastAsia="Arial" w:hAnsi="Arial"/>
                <w:b/>
                <w:bCs/>
                <w:color w:val="007A33"/>
                <w:sz w:val="24"/>
                <w:szCs w:val="24"/>
              </w:rPr>
              <w:t xml:space="preserve">4</w:t>
            </w:r>
          </w:p>
        </w:tc>
      </w:tr>
      <w:tr>
        <w:trPr>
          <w:tblHeader w:val="false"/>
        </w:trPr>
        <w:tc>
          <w:tcPr>
            <w:tcW w:type="dxa" w:w="35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23</w:t>
            </w:r>
          </w:p>
        </w:tc>
        <w:tc>
          <w:tcPr>
            <w:tcW w:type="dxa" w:w="1900"/>
            <w:gridSpan w:val="1"/>
            <w:tcBorders>
              <w:top w:val="single" w:color="BFBFBF" w:sz="1"/>
              <w:left w:val="single" w:color="BFBFBF" w:sz="1"/>
              <w:bottom w:val="single" w:color="BFBFBF" w:sz="1"/>
              <w:right w:val="single" w:color="BFBFBF" w:sz="1"/>
            </w:tcBorders>
            <w:shd w:fill="F2F2F2" w:val="clear"/>
            <w:tcMar>
              <w:top w:type="dxa" w:w="40"/>
              <w:left w:type="dxa" w:w="80"/>
              <w:bottom w:type="dxa" w:w="40"/>
              <w:right w:type="dxa" w:w="80"/>
            </w:tcMar>
          </w:tcPr>
          <w:p>
            <w:pPr>
              <w:spacing w:before="20" w:after="20"/>
            </w:pPr>
            <w:r>
              <w:rPr>
                <w:rFonts w:ascii="Arial" w:cs="Arial" w:eastAsia="Arial" w:hAnsi="Arial"/>
                <w:b/>
                <w:bCs/>
                <w:color w:val="1e293b"/>
                <w:sz w:val="24"/>
                <w:szCs w:val="24"/>
              </w:rPr>
              <w:t xml:space="preserve">Operator interference with RCI / overload alarm</w:t>
            </w:r>
          </w:p>
        </w:tc>
        <w:tc>
          <w:tcPr>
            <w:tcW w:type="dxa" w:w="85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Lifting team, site personnel</w:t>
            </w:r>
          </w:p>
        </w:tc>
        <w:tc>
          <w:tcPr>
            <w:tcW w:type="dxa" w:w="9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Overloading, overturning, structural failure, fatality</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3</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400"/>
            <w:tcBorders>
              <w:top w:val="single" w:color="BFBFBF" w:sz="1"/>
              <w:left w:val="single" w:color="BFBFBF" w:sz="1"/>
              <w:bottom w:val="single" w:color="BFBFBF" w:sz="1"/>
              <w:right w:val="single" w:color="BFBFBF" w:sz="1"/>
            </w:tcBorders>
            <w:shd w:fill="FBE4E4" w:val="clear"/>
            <w:tcMar>
              <w:top w:type="dxa" w:w="40"/>
              <w:left w:type="dxa" w:w="80"/>
              <w:bottom w:type="dxa" w:w="40"/>
              <w:right w:type="dxa" w:w="80"/>
            </w:tcMar>
            <w:vAlign w:val="center"/>
          </w:tcPr>
          <w:p>
            <w:pPr>
              <w:spacing w:before="20" w:after="20"/>
              <w:jc w:val="center"/>
            </w:pPr>
            <w:r>
              <w:rPr>
                <w:rFonts w:ascii="Arial" w:cs="Arial" w:eastAsia="Arial" w:hAnsi="Arial"/>
                <w:b/>
                <w:bCs/>
                <w:color w:val="C00000"/>
                <w:sz w:val="24"/>
                <w:szCs w:val="24"/>
              </w:rPr>
              <w:t xml:space="preserve">15</w:t>
            </w:r>
          </w:p>
        </w:tc>
        <w:tc>
          <w:tcPr>
            <w:tcW w:type="dxa" w:w="8738"/>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RCI or overload warning confirmed operational before each lifting operation – operator must not mute or disable alarm during lifting (CPA 4.7). Standard overload alarm is calibrated to least stable condition (cross-carriage), meaning alarm may sound early when lifting over end – this is normal and expected, not a reason to disable (CPA Table 2). Where operator frustration with early alarm is identified, consider fitting full RCI with accurate load moment display at all slew angles (CPA 4.7). Lifting Supervisor monitors alarm remains active throughout operations. Any attempt to disable or override alarm results in immediate cessation of operations and investigation. Operator briefed that alarm activation means STOP and reassess, not ignore. Calibration checked at manufacturer recommended intervals and at each thorough examination.</w:t>
            </w:r>
          </w:p>
        </w:tc>
        <w:tc>
          <w:tcPr>
            <w:tcW w:type="dxa" w:w="600"/>
            <w:gridSpan w:val="1"/>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tcPr>
          <w:p>
            <w:pPr>
              <w:spacing w:before="20" w:after="20" w:line="240"/>
            </w:pPr>
            <w:r>
              <w:rPr>
                <w:rFonts w:ascii="Arial" w:cs="Arial" w:eastAsia="Arial" w:hAnsi="Arial"/>
                <w:color w:val="1e293b"/>
                <w:sz w:val="24"/>
                <w:szCs w:val="24"/>
              </w:rPr>
              <w:t xml:space="preserve">Op / LS / AP</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1</w:t>
            </w:r>
          </w:p>
        </w:tc>
        <w:tc>
          <w:tcPr>
            <w:tcW w:type="dxa" w:w="320"/>
            <w:tcBorders>
              <w:top w:val="single" w:color="BFBFBF" w:sz="1"/>
              <w:left w:val="single" w:color="BFBFBF" w:sz="1"/>
              <w:bottom w:val="single" w:color="BFBFBF" w:sz="1"/>
              <w:right w:val="single" w:color="BFBFBF" w:sz="1"/>
            </w:tcBorders>
            <w:shd w:fill="FFFFFF" w:val="clear"/>
            <w:tcMar>
              <w:top w:type="dxa" w:w="40"/>
              <w:left w:type="dxa" w:w="80"/>
              <w:bottom w:type="dxa" w:w="40"/>
              <w:right w:type="dxa" w:w="80"/>
            </w:tcMar>
            <w:vAlign w:val="center"/>
          </w:tcPr>
          <w:p>
            <w:pPr>
              <w:spacing w:before="20" w:after="20"/>
              <w:jc w:val="center"/>
            </w:pPr>
            <w:r>
              <w:rPr>
                <w:rFonts w:ascii="Arial" w:cs="Arial" w:eastAsia="Arial" w:hAnsi="Arial"/>
                <w:color w:val="1e293b"/>
                <w:sz w:val="24"/>
                <w:szCs w:val="24"/>
              </w:rPr>
              <w:t xml:space="preserve">5</w:t>
            </w:r>
          </w:p>
        </w:tc>
        <w:tc>
          <w:tcPr>
            <w:tcW w:type="dxa" w:w="380"/>
            <w:tcBorders>
              <w:top w:val="single" w:color="BFBFBF" w:sz="1"/>
              <w:left w:val="single" w:color="BFBFBF" w:sz="1"/>
              <w:bottom w:val="single" w:color="BFBFBF" w:sz="1"/>
              <w:right w:val="single" w:color="BFBFBF" w:sz="1"/>
            </w:tcBorders>
            <w:shd w:fill="FFF8E1" w:val="clear"/>
            <w:tcMar>
              <w:top w:type="dxa" w:w="40"/>
              <w:left w:type="dxa" w:w="80"/>
              <w:bottom w:type="dxa" w:w="40"/>
              <w:right w:type="dxa" w:w="80"/>
            </w:tcMar>
            <w:vAlign w:val="center"/>
          </w:tcPr>
          <w:p>
            <w:pPr>
              <w:spacing w:before="20" w:after="20"/>
              <w:jc w:val="center"/>
            </w:pPr>
            <w:r>
              <w:rPr>
                <w:rFonts w:ascii="Arial" w:cs="Arial" w:eastAsia="Arial" w:hAnsi="Arial"/>
                <w:b/>
                <w:bCs/>
                <w:color w:val="BF8F00"/>
                <w:sz w:val="24"/>
                <w:szCs w:val="24"/>
              </w:rPr>
              <w:t xml:space="preserve">5</w:t>
            </w:r>
          </w:p>
        </w:tc>
      </w:tr>
    </w:tbl>
    <w:p>
      <w:pPr>
        <w:spacing w:after="80"/>
      </w:pPr>
    </w:p>
    <w:p>
      <w:pPr>
        <w:spacing w:after="40"/>
      </w:pPr>
      <w:r>
        <w:rPr>
          <w:rFonts w:ascii="Arial" w:cs="Arial" w:eastAsia="Arial" w:hAnsi="Arial"/>
          <w:b/>
          <w:bCs/>
          <w:color w:val="1B365D"/>
          <w:sz w:val="24"/>
          <w:szCs w:val="24"/>
        </w:rPr>
        <w:t xml:space="preserve">KEY: </w:t>
      </w:r>
      <w:r>
        <w:rPr>
          <w:rFonts w:ascii="Arial" w:cs="Arial" w:eastAsia="Arial" w:hAnsi="Arial"/>
          <w:color w:val="595959"/>
          <w:sz w:val="24"/>
          <w:szCs w:val="24"/>
        </w:rPr>
        <w:t xml:space="preserve">L = Likelihood  |  S = Severity  |  IRR = Initial Risk Rating  |  RRR = Residual Risk Rating  |  AP = Appointed Person  |  LS = Lifting Supervisor  |  S/S = Slinger-Signaller  |  Op = Operator  |  SM = Site Manager  |  PC = Principal Contractor  |  TWC = Temporary Works Coordinator  |  EO = Employing Organisation</w:t>
      </w:r>
    </w:p>
    <w:p>
      <w:pPr>
        <w:spacing w:after="40"/>
      </w:pPr>
      <w:r>
        <w:rPr>
          <w:rFonts w:ascii="Arial" w:cs="Arial" w:eastAsia="Arial" w:hAnsi="Arial"/>
          <w:b/>
          <w:bCs/>
          <w:color w:val="1B365D"/>
          <w:sz w:val="24"/>
          <w:szCs w:val="24"/>
        </w:rPr>
        <w:t xml:space="preserve">REFERENCES: </w:t>
      </w:r>
      <w:r>
        <w:rPr>
          <w:rFonts w:ascii="Arial" w:cs="Arial" w:eastAsia="Arial" w:hAnsi="Arial"/>
          <w:color w:val="595959"/>
          <w:sz w:val="24"/>
          <w:szCs w:val="24"/>
        </w:rPr>
        <w:t xml:space="preserve">CPA/SFPSG CIG 0801 (4th Revision October 2018)  |  L113 LOLER ACOP  |  BS 7121-1:2016  |  CDM 2015  |  PUWER 1998  |  BS EN 474  |  CPA Ground Conditions Guidance  |  CPA Quick Hitches Guidance  |  OPERC VCOP Hand Signals for Excavators</w:t>
      </w:r>
    </w:p>
    <w:p>
      <w:pPr>
        <w:spacing w:after="40"/>
      </w:pPr>
    </w:p>
    <w:p>
      <w:pPr>
        <w:spacing w:after="40"/>
      </w:pPr>
      <w:r>
        <w:rPr>
          <w:rFonts w:ascii="Arial" w:cs="Arial" w:eastAsia="Arial" w:hAnsi="Arial"/>
          <w:i/>
          <w:iCs/>
          <w:color w:val="595959"/>
          <w:sz w:val="24"/>
          <w:szCs w:val="24"/>
        </w:rPr>
        <w:t xml:space="preserve">Template only – the user is responsible for completing this document accurately for their specific lifting operation and site conditions.</w:t>
      </w:r>
    </w:p>
    <w:sectPr>
      <w:headerReference w:type="default" r:id="rId6"/>
      <w:footerReference w:type="default" r:id="rId7"/>
      <w:pgSz w:w="16838" w:h="11906" w:orient="landscape"/>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FBFBF" w:sz="1" w:space="2"/>
      </w:pBdr>
      <w:tabs>
        <w:tab w:val="right" w:pos="9026"/>
      </w:tabs>
    </w:pPr>
    <w:r>
      <w:rPr>
        <w:rFonts w:ascii="Arial" w:cs="Arial" w:eastAsia="Arial" w:hAnsi="Arial"/>
        <w:color w:val="595959"/>
        <w:sz w:val="24"/>
        <w:szCs w:val="24"/>
      </w:rPr>
      <w:t xml:space="preserve">Excavator Lift Plan Risk Assessment</w:t>
    </w:r>
    <w:r>
      <w:rPr>
        <w:rFonts w:ascii="Arial" w:cs="Arial" w:eastAsia="Arial" w:hAnsi="Arial"/>
        <w:color w:val="595959"/>
        <w:sz w:val="24"/>
        <w:szCs w:val="24"/>
      </w:rPr>
      <w:t xml:space="preserve">	Page </w:t>
    </w:r>
    <w:r>
      <w:rPr>
        <w:rFonts w:ascii="Arial" w:cs="Arial" w:eastAsia="Arial" w:hAnsi="Arial"/>
        <w:color w:val="595959"/>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1" w:space="2"/>
      </w:pBdr>
      <w:tabs>
        <w:tab w:val="right" w:pos="9026"/>
      </w:tabs>
    </w:pPr>
    <w:r>
      <w:rPr>
        <w:rFonts w:ascii="Arial" w:cs="Arial" w:eastAsia="Arial" w:hAnsi="Arial"/>
        <w:b/>
        <w:bCs/>
        <w:color w:val="1B365D"/>
        <w:sz w:val="24"/>
        <w:szCs w:val="24"/>
      </w:rPr>
      <w:t xml:space="preserve">Excavator Lifting Operations – Activity Risk Assessment</w:t>
    </w:r>
    <w:r>
      <w:rPr>
        <w:rFonts w:ascii="Arial" w:cs="Arial" w:eastAsia="Arial" w:hAnsi="Arial"/>
        <w:color w:val="595959"/>
        <w:sz w:val="24"/>
        <w:szCs w:val="24"/>
      </w:rPr>
      <w:t xml:space="preserve">  |  CPA/SFPSG CIG 0801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2026-02-20T09:42:03.200Z</dcterms:created>
  <dcterms:modified xsi:type="dcterms:W3CDTF">2026-02-20T09:42:03.201Z</dcterms:modified>
</cp:coreProperties>
</file>

<file path=docProps/custom.xml><?xml version="1.0" encoding="utf-8"?>
<Properties xmlns="http://schemas.openxmlformats.org/officeDocument/2006/custom-properties" xmlns:vt="http://schemas.openxmlformats.org/officeDocument/2006/docPropsVTypes"/>
</file>